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57" w:type="dxa"/>
        <w:tblLook w:val="04A0" w:firstRow="1" w:lastRow="0" w:firstColumn="1" w:lastColumn="0" w:noHBand="0" w:noVBand="1"/>
      </w:tblPr>
      <w:tblGrid>
        <w:gridCol w:w="8642"/>
        <w:gridCol w:w="1815"/>
      </w:tblGrid>
      <w:tr w:rsidR="00245A32" w14:paraId="1F105D61" w14:textId="77777777" w:rsidTr="00762DF9">
        <w:trPr>
          <w:trHeight w:val="1550"/>
        </w:trPr>
        <w:tc>
          <w:tcPr>
            <w:tcW w:w="8642" w:type="dxa"/>
          </w:tcPr>
          <w:p w14:paraId="6646D645" w14:textId="4DDE0D73" w:rsidR="00245A32" w:rsidRDefault="00245A32" w:rsidP="006537E8">
            <w:pPr>
              <w:spacing w:after="160" w:line="259" w:lineRule="auto"/>
              <w:jc w:val="center"/>
              <w:rPr>
                <w:rFonts w:ascii="Charming Childish" w:hAnsi="Charming Childish"/>
                <w:color w:val="FF0000"/>
                <w:sz w:val="52"/>
                <w:szCs w:val="52"/>
              </w:rPr>
            </w:pPr>
            <w:r w:rsidRPr="00877072">
              <w:rPr>
                <w:rFonts w:ascii="Charming Childish" w:hAnsi="Charming Childish"/>
                <w:color w:val="FF0000"/>
                <w:sz w:val="52"/>
                <w:szCs w:val="52"/>
              </w:rPr>
              <w:t xml:space="preserve">CSA FS </w:t>
            </w:r>
            <w:r w:rsidR="00B476FB">
              <w:rPr>
                <w:rFonts w:ascii="Charming Childish" w:hAnsi="Charming Childish"/>
                <w:color w:val="FF0000"/>
                <w:sz w:val="52"/>
                <w:szCs w:val="52"/>
              </w:rPr>
              <w:t>du 05 mars 2026</w:t>
            </w:r>
          </w:p>
          <w:p w14:paraId="4696F426" w14:textId="4493A8E0" w:rsidR="00245A32" w:rsidRPr="00B3571C" w:rsidRDefault="00C133A5" w:rsidP="00B3571C">
            <w:pPr>
              <w:spacing w:after="160" w:line="259" w:lineRule="auto"/>
              <w:jc w:val="center"/>
              <w:rPr>
                <w:rFonts w:ascii="Charming Childish" w:hAnsi="Charming Childish"/>
                <w:color w:val="FF0000"/>
                <w:sz w:val="52"/>
                <w:szCs w:val="52"/>
              </w:rPr>
            </w:pPr>
            <w:r>
              <w:rPr>
                <w:rFonts w:ascii="Charming Childish" w:hAnsi="Charming Childish"/>
                <w:color w:val="FF0000"/>
                <w:sz w:val="52"/>
                <w:szCs w:val="52"/>
              </w:rPr>
              <w:t>Déclaration préalable de FO (FNEC FP FO</w:t>
            </w:r>
            <w:r w:rsidR="006F1A66">
              <w:rPr>
                <w:rFonts w:ascii="Charming Childish" w:hAnsi="Charming Childish"/>
                <w:color w:val="FF0000"/>
                <w:sz w:val="52"/>
                <w:szCs w:val="52"/>
              </w:rPr>
              <w:t xml:space="preserve"> 29</w:t>
            </w:r>
            <w:r>
              <w:rPr>
                <w:rFonts w:ascii="Charming Childish" w:hAnsi="Charming Childish"/>
                <w:color w:val="FF0000"/>
                <w:sz w:val="52"/>
                <w:szCs w:val="52"/>
              </w:rPr>
              <w:t>)</w:t>
            </w:r>
          </w:p>
        </w:tc>
        <w:tc>
          <w:tcPr>
            <w:tcW w:w="1815" w:type="dxa"/>
          </w:tcPr>
          <w:p w14:paraId="282142E7" w14:textId="2DC2760A" w:rsidR="00245A32" w:rsidRDefault="00315C5E" w:rsidP="006537E8">
            <w:pPr>
              <w:jc w:val="center"/>
              <w:rPr>
                <w:rFonts w:ascii="Century Gothic" w:hAnsi="Century Gothic"/>
              </w:rPr>
            </w:pPr>
            <w:r>
              <w:rPr>
                <w:rFonts w:ascii="Century Gothic" w:hAnsi="Century Gothic"/>
                <w:noProof/>
              </w:rPr>
              <w:drawing>
                <wp:inline distT="0" distB="0" distL="0" distR="0" wp14:anchorId="18372F15" wp14:editId="58FF9B51">
                  <wp:extent cx="962025" cy="962025"/>
                  <wp:effectExtent l="0" t="0" r="9525" b="9525"/>
                  <wp:docPr id="9203242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24226" name="Image 920324226"/>
                          <pic:cNvPicPr/>
                        </pic:nvPicPr>
                        <pic:blipFill>
                          <a:blip r:embed="rId5">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tc>
      </w:tr>
    </w:tbl>
    <w:p w14:paraId="12EC6EF6" w14:textId="3FACF253" w:rsidR="00B476FB" w:rsidRPr="00B476FB" w:rsidRDefault="00B476FB" w:rsidP="00C8352A">
      <w:pPr>
        <w:spacing w:before="100" w:beforeAutospacing="1" w:after="100" w:afterAutospacing="1" w:line="240" w:lineRule="auto"/>
        <w:jc w:val="center"/>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M</w:t>
      </w:r>
      <w:r>
        <w:rPr>
          <w:rFonts w:ascii="Century Gothic" w:eastAsia="Times New Roman" w:hAnsi="Century Gothic" w:cs="Times New Roman"/>
          <w:kern w:val="0"/>
          <w:sz w:val="24"/>
          <w:szCs w:val="24"/>
          <w:lang w:eastAsia="fr-FR"/>
          <w14:ligatures w14:val="none"/>
        </w:rPr>
        <w:t>adame la DASEN</w:t>
      </w:r>
      <w:r w:rsidRPr="00B476FB">
        <w:rPr>
          <w:rFonts w:ascii="Century Gothic" w:eastAsia="Times New Roman" w:hAnsi="Century Gothic" w:cs="Times New Roman"/>
          <w:kern w:val="0"/>
          <w:sz w:val="24"/>
          <w:szCs w:val="24"/>
          <w:lang w:eastAsia="fr-FR"/>
          <w14:ligatures w14:val="none"/>
        </w:rPr>
        <w:t>,</w:t>
      </w:r>
      <w:r w:rsidRPr="00B476FB">
        <w:rPr>
          <w:rFonts w:ascii="Century Gothic" w:eastAsia="Times New Roman" w:hAnsi="Century Gothic" w:cs="Times New Roman"/>
          <w:kern w:val="0"/>
          <w:sz w:val="24"/>
          <w:szCs w:val="24"/>
          <w:lang w:eastAsia="fr-FR"/>
          <w14:ligatures w14:val="none"/>
        </w:rPr>
        <w:br/>
        <w:t>Mesdames et Messieurs les membres du CSA FS,</w:t>
      </w:r>
    </w:p>
    <w:p w14:paraId="136998C1"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Force Ouvrière souhaite alerter cette instance sur le nombre particulièrement élevé de fiches SST faisant état de violences subies par les agents dans l’exercice de leurs fonctions.</w:t>
      </w:r>
    </w:p>
    <w:p w14:paraId="5515DF3B"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Morsures, coups, jets d’objets, agressions verbales, menaces : ces faits sont précis, datés, circonstanciés. Ils constituent des atteintes à l’intégrité physique et psychique des personnels.</w:t>
      </w:r>
    </w:p>
    <w:p w14:paraId="4321C056"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Nous rappelons que, conformément à l’article L. 822-18 du Code général de la fonction publique, est présumé imputable au service tout accident survenu à un fonctionnaire dans le temps et le lieu du service, dans l’exercice ou à l’occasion de l’exercice de ses fonctions, sauf faute personnelle ou circonstance particulière détachant l’accident du service.</w:t>
      </w:r>
    </w:p>
    <w:p w14:paraId="00DC7E49"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En conséquence, lorsqu’un agent est victime d’une morsure, d’un coup ou d’un jet d’objet dans le cadre de son service et qu’il en résulte une lésion, le caractère d’accident de service doit être reconnu.</w:t>
      </w:r>
    </w:p>
    <w:p w14:paraId="25E55E3C"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Or, nous constatons que de nombreuses demandes sont refusées, notamment au motif que les violences seraient « réitérées » ou liées au contexte habituel de travail. Ce raisonnement est juridiquement contestable.</w:t>
      </w:r>
      <w:r w:rsidRPr="00B476FB">
        <w:rPr>
          <w:rFonts w:ascii="Century Gothic" w:eastAsia="Times New Roman" w:hAnsi="Century Gothic" w:cs="Times New Roman"/>
          <w:kern w:val="0"/>
          <w:sz w:val="24"/>
          <w:szCs w:val="24"/>
          <w:lang w:eastAsia="fr-FR"/>
          <w14:ligatures w14:val="none"/>
        </w:rPr>
        <w:br/>
        <w:t>La répétition d’un risque ne le rend ni normal, ni acceptable, ni détachable du service. Au contraire, elle engage d’autant plus la responsabilité de l’employeur au titre de son obligation de sécurité.</w:t>
      </w:r>
    </w:p>
    <w:p w14:paraId="6B5CE19D"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Force Ouvrière rappelle que l’administration est tenue à une obligation de protection de la santé et de la sécurité des agents, conformément aux principes généraux de prévention issus du Code du travail, applicables à la fonction publique. Cette obligation implique non seulement la prévention des risques, mais également la réparation lorsque le dommage survient.</w:t>
      </w:r>
    </w:p>
    <w:p w14:paraId="654823C1"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Refuser la reconnaissance d’un accident de service dans ces situations constitue, pour les agents, une double peine :</w:t>
      </w:r>
    </w:p>
    <w:p w14:paraId="1B9091EF" w14:textId="77777777" w:rsidR="00B476FB" w:rsidRPr="00B476FB" w:rsidRDefault="00B476FB" w:rsidP="00B476FB">
      <w:pPr>
        <w:numPr>
          <w:ilvl w:val="0"/>
          <w:numId w:val="4"/>
        </w:num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violence subie dans le cadre professionnel ;</w:t>
      </w:r>
    </w:p>
    <w:p w14:paraId="143B4A1B" w14:textId="77777777" w:rsidR="00B476FB" w:rsidRPr="00B476FB" w:rsidRDefault="00B476FB" w:rsidP="00B476FB">
      <w:pPr>
        <w:numPr>
          <w:ilvl w:val="0"/>
          <w:numId w:val="4"/>
        </w:num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absence de reconnaissance institutionnelle du préjudice.</w:t>
      </w:r>
    </w:p>
    <w:p w14:paraId="41969DD6"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Nous attirons également l’attention de cette instance sur la longueur et la complexité des démarches administratives imposées aux agents. Ces procédures sont particulièrement éprouvantes pour des personnels déjà fragilisés physiquement ou psychologiquement. Elles ne peuvent s’apparenter à un parcours dissuasif.</w:t>
      </w:r>
    </w:p>
    <w:p w14:paraId="4A320524"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lastRenderedPageBreak/>
        <w:t>Dans un contexte où les agents sont pénalisés financièrement en cas d’arrêt maladie — journée de carence, rémunération réduite — le refus de reconnaissance d’un accident de service aggrave encore leur situation matérielle et morale.</w:t>
      </w:r>
    </w:p>
    <w:p w14:paraId="7BFC0D37"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Nous rappelons que l’augmentation des violences intervient dans un cadre marqué par l’inclusion systématique sans moyens suffisants, par le manque de personnels spécialisés et par la fermeture continue de postes. Cette situation place les agents dans des conditions de travail dégradées, parfois intenables.</w:t>
      </w:r>
    </w:p>
    <w:p w14:paraId="0F9400B4"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Force Ouvrière demande :</w:t>
      </w:r>
    </w:p>
    <w:p w14:paraId="3BEBA779" w14:textId="77777777" w:rsidR="00B476FB" w:rsidRPr="00B476FB" w:rsidRDefault="00B476FB" w:rsidP="00B476FB">
      <w:pPr>
        <w:numPr>
          <w:ilvl w:val="0"/>
          <w:numId w:val="5"/>
        </w:num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La reconnaissance des accidents de service dès lors que les conditions légales sont réunies ;</w:t>
      </w:r>
    </w:p>
    <w:p w14:paraId="5A849BA1" w14:textId="77777777" w:rsidR="00B476FB" w:rsidRPr="00B476FB" w:rsidRDefault="00B476FB" w:rsidP="00B476FB">
      <w:pPr>
        <w:numPr>
          <w:ilvl w:val="0"/>
          <w:numId w:val="5"/>
        </w:num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L’application effective de l’obligation de protection de l’employeur ;</w:t>
      </w:r>
    </w:p>
    <w:p w14:paraId="2C53650D" w14:textId="77777777" w:rsidR="00B476FB" w:rsidRPr="00B476FB" w:rsidRDefault="00B476FB" w:rsidP="00B476FB">
      <w:pPr>
        <w:numPr>
          <w:ilvl w:val="0"/>
          <w:numId w:val="5"/>
        </w:num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La mise en œuvre de mesures de prévention adaptées ;</w:t>
      </w:r>
    </w:p>
    <w:p w14:paraId="16587D57" w14:textId="77777777" w:rsidR="00B476FB" w:rsidRPr="00B476FB" w:rsidRDefault="00B476FB" w:rsidP="00B476FB">
      <w:pPr>
        <w:numPr>
          <w:ilvl w:val="0"/>
          <w:numId w:val="5"/>
        </w:num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L’ouverture de places dans les structures spécialisées pour les élèves nécessitant des soins ;</w:t>
      </w:r>
    </w:p>
    <w:p w14:paraId="5BCD2F5F" w14:textId="1E28AAA7" w:rsidR="00B476FB" w:rsidRPr="00B476FB" w:rsidRDefault="00B476FB" w:rsidP="00B476FB">
      <w:pPr>
        <w:numPr>
          <w:ilvl w:val="0"/>
          <w:numId w:val="5"/>
        </w:num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L’arrêt des suppressions de postes et la création de postes : administratifs, enseignants,</w:t>
      </w:r>
      <w:r w:rsidR="001275FA">
        <w:rPr>
          <w:rFonts w:ascii="Century Gothic" w:eastAsia="Times New Roman" w:hAnsi="Century Gothic" w:cs="Times New Roman"/>
          <w:kern w:val="0"/>
          <w:sz w:val="24"/>
          <w:szCs w:val="24"/>
          <w:lang w:eastAsia="fr-FR"/>
          <w14:ligatures w14:val="none"/>
        </w:rPr>
        <w:t xml:space="preserve"> AESH, professionnels médico-sociaux, vie scolaire</w:t>
      </w:r>
      <w:r w:rsidRPr="00B476FB">
        <w:rPr>
          <w:rFonts w:ascii="Century Gothic" w:eastAsia="Times New Roman" w:hAnsi="Century Gothic" w:cs="Times New Roman"/>
          <w:kern w:val="0"/>
          <w:sz w:val="24"/>
          <w:szCs w:val="24"/>
          <w:lang w:eastAsia="fr-FR"/>
          <w14:ligatures w14:val="none"/>
        </w:rPr>
        <w:t xml:space="preserve"> renforcement des brigades de remplacement et des RASED.</w:t>
      </w:r>
    </w:p>
    <w:p w14:paraId="699F3543"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La protection des agents ne relève pas d’une appréciation discrétionnaire : elle constitue une obligation légale.</w:t>
      </w:r>
    </w:p>
    <w:p w14:paraId="1BCB3ECF"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Force Ouvrière se tiendra aux côtés des personnels pour faire respecter leurs droits et veillera à ce que chaque situation soit examinée dans le strict respect du cadre juridique.</w:t>
      </w:r>
    </w:p>
    <w:p w14:paraId="5F353B27" w14:textId="77777777" w:rsidR="00B476FB" w:rsidRPr="00B476FB" w:rsidRDefault="00B476FB" w:rsidP="00B476FB">
      <w:pPr>
        <w:spacing w:before="100" w:beforeAutospacing="1" w:after="100" w:afterAutospacing="1" w:line="240" w:lineRule="auto"/>
        <w:rPr>
          <w:rFonts w:ascii="Century Gothic" w:eastAsia="Times New Roman" w:hAnsi="Century Gothic" w:cs="Times New Roman"/>
          <w:kern w:val="0"/>
          <w:sz w:val="24"/>
          <w:szCs w:val="24"/>
          <w:lang w:eastAsia="fr-FR"/>
          <w14:ligatures w14:val="none"/>
        </w:rPr>
      </w:pPr>
      <w:r w:rsidRPr="00B476FB">
        <w:rPr>
          <w:rFonts w:ascii="Century Gothic" w:eastAsia="Times New Roman" w:hAnsi="Century Gothic" w:cs="Times New Roman"/>
          <w:kern w:val="0"/>
          <w:sz w:val="24"/>
          <w:szCs w:val="24"/>
          <w:lang w:eastAsia="fr-FR"/>
          <w14:ligatures w14:val="none"/>
        </w:rPr>
        <w:t>Nous vous remercions.</w:t>
      </w:r>
    </w:p>
    <w:p w14:paraId="11D3F979" w14:textId="77777777" w:rsidR="00B476FB" w:rsidRPr="00C133A5" w:rsidRDefault="00B476FB">
      <w:pPr>
        <w:rPr>
          <w:sz w:val="28"/>
          <w:szCs w:val="28"/>
        </w:rPr>
      </w:pPr>
    </w:p>
    <w:p w14:paraId="15C620A8" w14:textId="77777777" w:rsidR="00D75B99" w:rsidRPr="00C133A5" w:rsidRDefault="00D75B99">
      <w:pPr>
        <w:rPr>
          <w:sz w:val="28"/>
          <w:szCs w:val="28"/>
        </w:rPr>
      </w:pPr>
    </w:p>
    <w:sectPr w:rsidR="00D75B99" w:rsidRPr="00C133A5" w:rsidSect="00E468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harming Childish">
    <w:altName w:val="Calibri"/>
    <w:panose1 w:val="02000600000000000000"/>
    <w:charset w:val="00"/>
    <w:family w:val="auto"/>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B7B"/>
    <w:multiLevelType w:val="hybridMultilevel"/>
    <w:tmpl w:val="CBF2A2A4"/>
    <w:lvl w:ilvl="0" w:tplc="380A5CC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C36537"/>
    <w:multiLevelType w:val="hybridMultilevel"/>
    <w:tmpl w:val="31A293C8"/>
    <w:lvl w:ilvl="0" w:tplc="41FE21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1722E4"/>
    <w:multiLevelType w:val="multilevel"/>
    <w:tmpl w:val="747A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C0505"/>
    <w:multiLevelType w:val="hybridMultilevel"/>
    <w:tmpl w:val="507289A8"/>
    <w:lvl w:ilvl="0" w:tplc="A60EE464">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34D172E"/>
    <w:multiLevelType w:val="multilevel"/>
    <w:tmpl w:val="C90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338669">
    <w:abstractNumId w:val="0"/>
  </w:num>
  <w:num w:numId="2" w16cid:durableId="496068613">
    <w:abstractNumId w:val="3"/>
  </w:num>
  <w:num w:numId="3" w16cid:durableId="1195270251">
    <w:abstractNumId w:val="1"/>
  </w:num>
  <w:num w:numId="4" w16cid:durableId="1307591400">
    <w:abstractNumId w:val="2"/>
  </w:num>
  <w:num w:numId="5" w16cid:durableId="895318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19"/>
    <w:rsid w:val="000A3074"/>
    <w:rsid w:val="000B1D10"/>
    <w:rsid w:val="001275FA"/>
    <w:rsid w:val="001406AC"/>
    <w:rsid w:val="0022190D"/>
    <w:rsid w:val="00245A32"/>
    <w:rsid w:val="00262BCA"/>
    <w:rsid w:val="00270BD9"/>
    <w:rsid w:val="00287B30"/>
    <w:rsid w:val="002B57AB"/>
    <w:rsid w:val="002D365D"/>
    <w:rsid w:val="00302789"/>
    <w:rsid w:val="00315C5E"/>
    <w:rsid w:val="00435675"/>
    <w:rsid w:val="00450475"/>
    <w:rsid w:val="00461DAC"/>
    <w:rsid w:val="00494928"/>
    <w:rsid w:val="00550971"/>
    <w:rsid w:val="00633142"/>
    <w:rsid w:val="006537E8"/>
    <w:rsid w:val="006A3F13"/>
    <w:rsid w:val="006C20BF"/>
    <w:rsid w:val="006F1A66"/>
    <w:rsid w:val="006F2C08"/>
    <w:rsid w:val="00726227"/>
    <w:rsid w:val="00762DF9"/>
    <w:rsid w:val="007E7FFB"/>
    <w:rsid w:val="00887786"/>
    <w:rsid w:val="008A1BAC"/>
    <w:rsid w:val="008E5B46"/>
    <w:rsid w:val="009E6573"/>
    <w:rsid w:val="00A1687F"/>
    <w:rsid w:val="00B3571C"/>
    <w:rsid w:val="00B476FB"/>
    <w:rsid w:val="00BF4519"/>
    <w:rsid w:val="00C05E34"/>
    <w:rsid w:val="00C133A5"/>
    <w:rsid w:val="00C475A3"/>
    <w:rsid w:val="00C8352A"/>
    <w:rsid w:val="00D75B99"/>
    <w:rsid w:val="00DB51B9"/>
    <w:rsid w:val="00DB5BA1"/>
    <w:rsid w:val="00DB6AAE"/>
    <w:rsid w:val="00E455AD"/>
    <w:rsid w:val="00E46885"/>
    <w:rsid w:val="00E47374"/>
    <w:rsid w:val="00E81CD0"/>
    <w:rsid w:val="00F04490"/>
    <w:rsid w:val="00F70CE9"/>
    <w:rsid w:val="00F877EA"/>
    <w:rsid w:val="00F93A8E"/>
    <w:rsid w:val="00FA5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AC28"/>
  <w15:chartTrackingRefBased/>
  <w15:docId w15:val="{4496D4F5-56B1-4D6F-B753-CBD86750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57AB"/>
    <w:pPr>
      <w:ind w:left="720"/>
      <w:contextualSpacing/>
    </w:pPr>
  </w:style>
  <w:style w:type="table" w:styleId="Grilledutableau">
    <w:name w:val="Table Grid"/>
    <w:basedOn w:val="TableauNormal"/>
    <w:uiPriority w:val="39"/>
    <w:rsid w:val="0024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3A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580</Words>
  <Characters>3190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dc:creator>
  <cp:keywords/>
  <dc:description/>
  <cp:lastModifiedBy>Céline</cp:lastModifiedBy>
  <cp:revision>3</cp:revision>
  <cp:lastPrinted>2024-03-26T18:09:00Z</cp:lastPrinted>
  <dcterms:created xsi:type="dcterms:W3CDTF">2026-03-04T09:28:00Z</dcterms:created>
  <dcterms:modified xsi:type="dcterms:W3CDTF">2026-03-04T10:53:00Z</dcterms:modified>
</cp:coreProperties>
</file>